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409D6" w14:textId="77777777" w:rsidR="007F17C2" w:rsidRDefault="007F17C2" w:rsidP="00900CA3">
      <w:pPr>
        <w:spacing w:line="500" w:lineRule="exact"/>
        <w:jc w:val="center"/>
        <w:rPr>
          <w:b/>
          <w:bCs/>
          <w:sz w:val="36"/>
          <w:szCs w:val="36"/>
        </w:rPr>
      </w:pPr>
      <w:r w:rsidRPr="007F17C2">
        <w:rPr>
          <w:rFonts w:hint="eastAsia"/>
          <w:b/>
          <w:bCs/>
          <w:sz w:val="36"/>
          <w:szCs w:val="36"/>
        </w:rPr>
        <w:t>浙江天元建设（集团）股份有限公司</w:t>
      </w:r>
    </w:p>
    <w:p w14:paraId="31B891A8" w14:textId="10CD9C46" w:rsidR="00670937" w:rsidRDefault="007F17C2" w:rsidP="007F17C2">
      <w:pPr>
        <w:spacing w:line="500" w:lineRule="exact"/>
        <w:jc w:val="center"/>
        <w:rPr>
          <w:b/>
          <w:bCs/>
          <w:sz w:val="36"/>
          <w:szCs w:val="36"/>
        </w:rPr>
      </w:pPr>
      <w:r w:rsidRPr="007F17C2">
        <w:rPr>
          <w:rFonts w:hint="eastAsia"/>
          <w:b/>
          <w:bCs/>
          <w:sz w:val="36"/>
          <w:szCs w:val="36"/>
        </w:rPr>
        <w:t>破产清算案</w:t>
      </w:r>
      <w:r w:rsidR="00900CA3" w:rsidRPr="00900CA3">
        <w:rPr>
          <w:rFonts w:hint="eastAsia"/>
          <w:b/>
          <w:bCs/>
          <w:sz w:val="36"/>
          <w:szCs w:val="36"/>
        </w:rPr>
        <w:t>债权申报</w:t>
      </w:r>
      <w:r>
        <w:rPr>
          <w:rFonts w:hint="eastAsia"/>
          <w:b/>
          <w:bCs/>
          <w:sz w:val="36"/>
          <w:szCs w:val="36"/>
        </w:rPr>
        <w:t>说明</w:t>
      </w:r>
    </w:p>
    <w:p w14:paraId="5B445C0F" w14:textId="77777777" w:rsidR="00D7118E" w:rsidRPr="00900CA3" w:rsidRDefault="00D7118E" w:rsidP="00900CA3">
      <w:pPr>
        <w:spacing w:line="500" w:lineRule="exact"/>
        <w:jc w:val="center"/>
        <w:rPr>
          <w:b/>
          <w:bCs/>
          <w:sz w:val="36"/>
          <w:szCs w:val="36"/>
        </w:rPr>
      </w:pPr>
    </w:p>
    <w:p w14:paraId="5BFCEF5D" w14:textId="08BA4244" w:rsidR="00900CA3" w:rsidRPr="00900CA3" w:rsidRDefault="00900CA3" w:rsidP="00900CA3">
      <w:pPr>
        <w:tabs>
          <w:tab w:val="left" w:pos="720"/>
        </w:tabs>
        <w:spacing w:line="360" w:lineRule="auto"/>
        <w:jc w:val="both"/>
        <w:rPr>
          <w:b/>
        </w:rPr>
      </w:pPr>
      <w:r w:rsidRPr="00900CA3">
        <w:rPr>
          <w:rFonts w:hint="eastAsia"/>
          <w:b/>
        </w:rPr>
        <w:t>第一步：下载债权申报文件</w:t>
      </w:r>
    </w:p>
    <w:p w14:paraId="2D7DCA19" w14:textId="56BCBE5C" w:rsidR="00900CA3" w:rsidRDefault="00900CA3" w:rsidP="00900CA3">
      <w:pPr>
        <w:tabs>
          <w:tab w:val="left" w:pos="720"/>
        </w:tabs>
        <w:spacing w:line="360" w:lineRule="auto"/>
        <w:ind w:firstLineChars="200" w:firstLine="480"/>
        <w:jc w:val="both"/>
        <w:rPr>
          <w:bCs/>
        </w:rPr>
      </w:pPr>
      <w:r>
        <w:rPr>
          <w:rFonts w:hint="eastAsia"/>
          <w:bCs/>
        </w:rPr>
        <w:t>债权</w:t>
      </w:r>
      <w:r w:rsidR="00F435AB">
        <w:rPr>
          <w:rFonts w:hint="eastAsia"/>
          <w:bCs/>
        </w:rPr>
        <w:t>人前往</w:t>
      </w:r>
      <w:r>
        <w:rPr>
          <w:rFonts w:hint="eastAsia"/>
          <w:bCs/>
        </w:rPr>
        <w:t>登陆“浙江和义观达律师事务所官网（</w:t>
      </w:r>
      <w:r>
        <w:rPr>
          <w:bCs/>
        </w:rPr>
        <w:t>http://www.hygdlf.com</w:t>
      </w:r>
      <w:r>
        <w:rPr>
          <w:rFonts w:hint="eastAsia"/>
          <w:bCs/>
        </w:rPr>
        <w:t>）”-“下载中心”-</w:t>
      </w:r>
      <w:r>
        <w:rPr>
          <w:bCs/>
        </w:rPr>
        <w:t>“</w:t>
      </w:r>
      <w:r>
        <w:rPr>
          <w:rFonts w:hint="eastAsia"/>
          <w:bCs/>
        </w:rPr>
        <w:t>浙江天元建设（集团）股份有限公司破产清算</w:t>
      </w:r>
      <w:r w:rsidR="007F17C2">
        <w:rPr>
          <w:rFonts w:hint="eastAsia"/>
          <w:bCs/>
        </w:rPr>
        <w:t>案</w:t>
      </w:r>
      <w:r>
        <w:rPr>
          <w:rFonts w:hint="eastAsia"/>
          <w:bCs/>
        </w:rPr>
        <w:t>债权申报</w:t>
      </w:r>
      <w:r w:rsidR="00AF3BA1">
        <w:rPr>
          <w:rFonts w:hint="eastAsia"/>
          <w:bCs/>
        </w:rPr>
        <w:t>文件</w:t>
      </w:r>
      <w:r>
        <w:rPr>
          <w:bCs/>
        </w:rPr>
        <w:t>”</w:t>
      </w:r>
      <w:r>
        <w:rPr>
          <w:rFonts w:hint="eastAsia"/>
          <w:bCs/>
        </w:rPr>
        <w:t>下载相关债权申报文件，并按文件要求填写、准备债权申报资料。</w:t>
      </w:r>
    </w:p>
    <w:p w14:paraId="6C2F86D7" w14:textId="77777777" w:rsidR="00211A04" w:rsidRDefault="00211A04" w:rsidP="00900CA3">
      <w:pPr>
        <w:tabs>
          <w:tab w:val="left" w:pos="720"/>
        </w:tabs>
        <w:spacing w:line="360" w:lineRule="auto"/>
        <w:ind w:firstLineChars="200" w:firstLine="480"/>
        <w:jc w:val="both"/>
        <w:rPr>
          <w:bCs/>
        </w:rPr>
      </w:pPr>
    </w:p>
    <w:p w14:paraId="733FB4D2" w14:textId="63434FA3" w:rsidR="00900CA3" w:rsidRPr="00900CA3" w:rsidRDefault="00900CA3" w:rsidP="00900CA3">
      <w:pPr>
        <w:tabs>
          <w:tab w:val="left" w:pos="720"/>
        </w:tabs>
        <w:spacing w:line="360" w:lineRule="auto"/>
        <w:jc w:val="both"/>
        <w:rPr>
          <w:b/>
        </w:rPr>
      </w:pPr>
      <w:r w:rsidRPr="00900CA3">
        <w:rPr>
          <w:rFonts w:hint="eastAsia"/>
          <w:b/>
        </w:rPr>
        <w:t>第二步：</w:t>
      </w:r>
      <w:r w:rsidR="00F435AB">
        <w:rPr>
          <w:rFonts w:hint="eastAsia"/>
          <w:b/>
        </w:rPr>
        <w:t>进行</w:t>
      </w:r>
      <w:r w:rsidRPr="00900CA3">
        <w:rPr>
          <w:rFonts w:hint="eastAsia"/>
          <w:b/>
        </w:rPr>
        <w:t>债权申报</w:t>
      </w:r>
    </w:p>
    <w:p w14:paraId="4B262FD9" w14:textId="503C8116" w:rsidR="00900CA3" w:rsidRDefault="007F17C2" w:rsidP="00900CA3">
      <w:pPr>
        <w:tabs>
          <w:tab w:val="left" w:pos="720"/>
        </w:tabs>
        <w:spacing w:line="360" w:lineRule="auto"/>
        <w:ind w:firstLineChars="200" w:firstLine="480"/>
        <w:jc w:val="both"/>
        <w:rPr>
          <w:bCs/>
        </w:rPr>
      </w:pPr>
      <w:r>
        <w:rPr>
          <w:rFonts w:hint="eastAsia"/>
          <w:bCs/>
        </w:rPr>
        <w:t>为便于广大债权人申报债权</w:t>
      </w:r>
      <w:r w:rsidR="00900CA3">
        <w:rPr>
          <w:rFonts w:hint="eastAsia"/>
          <w:bCs/>
        </w:rPr>
        <w:t>，债权人在完成债权申报资料填写、准备工作后，可</w:t>
      </w:r>
      <w:r w:rsidR="008E089A">
        <w:rPr>
          <w:rFonts w:hint="eastAsia"/>
          <w:bCs/>
        </w:rPr>
        <w:t>选择</w:t>
      </w:r>
      <w:r w:rsidR="00900CA3">
        <w:rPr>
          <w:rFonts w:hint="eastAsia"/>
          <w:bCs/>
        </w:rPr>
        <w:t>以下</w:t>
      </w:r>
      <w:r w:rsidR="008E089A">
        <w:rPr>
          <w:rFonts w:hint="eastAsia"/>
          <w:bCs/>
        </w:rPr>
        <w:t>两种方式之一</w:t>
      </w:r>
      <w:r w:rsidR="00900CA3">
        <w:rPr>
          <w:rFonts w:hint="eastAsia"/>
          <w:bCs/>
        </w:rPr>
        <w:t>进行债权申报：</w:t>
      </w:r>
    </w:p>
    <w:p w14:paraId="13068707" w14:textId="2D228119" w:rsidR="00900CA3" w:rsidRPr="000F5241" w:rsidRDefault="008E089A" w:rsidP="008E089A">
      <w:pPr>
        <w:tabs>
          <w:tab w:val="left" w:pos="720"/>
        </w:tabs>
        <w:spacing w:line="360" w:lineRule="auto"/>
        <w:ind w:firstLineChars="200" w:firstLine="480"/>
        <w:jc w:val="both"/>
        <w:rPr>
          <w:bCs/>
        </w:rPr>
      </w:pPr>
      <w:r w:rsidRPr="000F5241">
        <w:rPr>
          <w:rFonts w:hint="eastAsia"/>
          <w:bCs/>
        </w:rPr>
        <w:t>方式一：</w:t>
      </w:r>
      <w:r w:rsidR="00900CA3" w:rsidRPr="000F5241">
        <w:rPr>
          <w:rFonts w:hint="eastAsia"/>
          <w:bCs/>
        </w:rPr>
        <w:t>线上申报</w:t>
      </w:r>
    </w:p>
    <w:p w14:paraId="7C76E04C" w14:textId="2BA06BDA" w:rsidR="00900CA3" w:rsidRDefault="00900CA3" w:rsidP="00900CA3">
      <w:pPr>
        <w:tabs>
          <w:tab w:val="left" w:pos="720"/>
        </w:tabs>
        <w:spacing w:line="360" w:lineRule="auto"/>
        <w:ind w:firstLineChars="200" w:firstLine="480"/>
        <w:jc w:val="both"/>
        <w:rPr>
          <w:bCs/>
        </w:rPr>
      </w:pPr>
      <w:r>
        <w:rPr>
          <w:rFonts w:hint="eastAsia"/>
          <w:bCs/>
        </w:rPr>
        <w:t>债权人可使用阿里破产管理</w:t>
      </w:r>
      <w:r w:rsidR="007F17C2">
        <w:rPr>
          <w:rFonts w:hint="eastAsia"/>
          <w:bCs/>
        </w:rPr>
        <w:t>平台</w:t>
      </w:r>
      <w:r>
        <w:rPr>
          <w:rFonts w:hint="eastAsia"/>
          <w:bCs/>
        </w:rPr>
        <w:t>进行线上债权申报，</w:t>
      </w:r>
      <w:r w:rsidR="00903F47">
        <w:rPr>
          <w:rFonts w:hint="eastAsia"/>
          <w:bCs/>
        </w:rPr>
        <w:t>通过使用</w:t>
      </w:r>
      <w:r w:rsidR="00903F47" w:rsidRPr="00903F47">
        <w:rPr>
          <w:rFonts w:hint="eastAsia"/>
          <w:bCs/>
        </w:rPr>
        <w:t>钉钉、支付宝、淘宝或手机自带浏览器等软件的“扫一扫”功能</w:t>
      </w:r>
      <w:r>
        <w:rPr>
          <w:rFonts w:hint="eastAsia"/>
          <w:bCs/>
        </w:rPr>
        <w:t>扫描以下二维码，扫码后按照系统提示进行申报债权，并按照要求上传债权申报资料。</w:t>
      </w:r>
    </w:p>
    <w:p w14:paraId="773DA409" w14:textId="315B038A" w:rsidR="00900CA3" w:rsidRDefault="00900CA3" w:rsidP="00900CA3">
      <w:pPr>
        <w:tabs>
          <w:tab w:val="left" w:pos="720"/>
        </w:tabs>
        <w:spacing w:line="360" w:lineRule="auto"/>
        <w:ind w:firstLineChars="200" w:firstLine="480"/>
        <w:jc w:val="both"/>
        <w:rPr>
          <w:bCs/>
        </w:rPr>
      </w:pPr>
      <w:r>
        <w:rPr>
          <w:rFonts w:hint="eastAsia"/>
          <w:bCs/>
        </w:rPr>
        <w:t>（具体</w:t>
      </w:r>
      <w:r w:rsidR="00903F47">
        <w:rPr>
          <w:rFonts w:hint="eastAsia"/>
          <w:bCs/>
        </w:rPr>
        <w:t>申报流程可</w:t>
      </w:r>
      <w:r>
        <w:rPr>
          <w:rFonts w:hint="eastAsia"/>
          <w:bCs/>
        </w:rPr>
        <w:t>详见《线上债权申报指引》）</w:t>
      </w:r>
    </w:p>
    <w:p w14:paraId="7787ABC2" w14:textId="77777777" w:rsidR="00900CA3" w:rsidRDefault="00900CA3" w:rsidP="00BE0A1E">
      <w:pPr>
        <w:tabs>
          <w:tab w:val="left" w:pos="720"/>
        </w:tabs>
        <w:spacing w:line="360" w:lineRule="auto"/>
        <w:ind w:firstLineChars="200" w:firstLine="480"/>
        <w:jc w:val="center"/>
        <w:rPr>
          <w:bCs/>
        </w:rPr>
      </w:pPr>
      <w:r>
        <w:rPr>
          <w:rFonts w:hint="eastAsia"/>
          <w:bCs/>
          <w:noProof/>
          <w:lang w:val="zh-CN"/>
        </w:rPr>
        <w:drawing>
          <wp:inline distT="0" distB="0" distL="0" distR="0" wp14:anchorId="64A69328" wp14:editId="4DD5AFAA">
            <wp:extent cx="947057" cy="947057"/>
            <wp:effectExtent l="0" t="0" r="5715" b="5715"/>
            <wp:docPr id="1" name="图片 1"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 代码&#10;&#10;描述已自动生成"/>
                    <pic:cNvPicPr/>
                  </pic:nvPicPr>
                  <pic:blipFill>
                    <a:blip r:embed="rId6"/>
                    <a:stretch>
                      <a:fillRect/>
                    </a:stretch>
                  </pic:blipFill>
                  <pic:spPr>
                    <a:xfrm>
                      <a:off x="0" y="0"/>
                      <a:ext cx="953660" cy="953660"/>
                    </a:xfrm>
                    <a:prstGeom prst="rect">
                      <a:avLst/>
                    </a:prstGeom>
                  </pic:spPr>
                </pic:pic>
              </a:graphicData>
            </a:graphic>
          </wp:inline>
        </w:drawing>
      </w:r>
    </w:p>
    <w:p w14:paraId="2AD51DE6" w14:textId="18FB62C4" w:rsidR="00900CA3" w:rsidRPr="000F5241" w:rsidRDefault="008E089A" w:rsidP="008E089A">
      <w:pPr>
        <w:tabs>
          <w:tab w:val="left" w:pos="720"/>
        </w:tabs>
        <w:spacing w:line="360" w:lineRule="auto"/>
        <w:ind w:firstLineChars="200" w:firstLine="480"/>
        <w:rPr>
          <w:bCs/>
        </w:rPr>
      </w:pPr>
      <w:r w:rsidRPr="000F5241">
        <w:rPr>
          <w:rFonts w:hint="eastAsia"/>
          <w:bCs/>
        </w:rPr>
        <w:t>方式二：</w:t>
      </w:r>
      <w:r w:rsidR="00900CA3" w:rsidRPr="000F5241">
        <w:rPr>
          <w:rFonts w:hint="eastAsia"/>
          <w:bCs/>
        </w:rPr>
        <w:t>邮寄申报</w:t>
      </w:r>
    </w:p>
    <w:p w14:paraId="4CE8D419" w14:textId="1947D55E" w:rsidR="00900CA3" w:rsidRDefault="00900CA3" w:rsidP="00900CA3">
      <w:pPr>
        <w:tabs>
          <w:tab w:val="left" w:pos="720"/>
        </w:tabs>
        <w:spacing w:line="360" w:lineRule="auto"/>
        <w:ind w:firstLineChars="200" w:firstLine="480"/>
        <w:rPr>
          <w:bCs/>
        </w:rPr>
      </w:pPr>
      <w:r>
        <w:rPr>
          <w:rFonts w:hint="eastAsia"/>
          <w:bCs/>
        </w:rPr>
        <w:t>债权人也可以通过书面邮寄方式进行债权申报，债权人将填写完毕的债权申报资料邮寄至宁波市江北区江安路407号钻石广场办公楼</w:t>
      </w:r>
      <w:r>
        <w:rPr>
          <w:bCs/>
        </w:rPr>
        <w:t>12楼</w:t>
      </w:r>
      <w:r>
        <w:rPr>
          <w:rFonts w:hint="eastAsia"/>
          <w:bCs/>
        </w:rPr>
        <w:t>120</w:t>
      </w:r>
      <w:r>
        <w:rPr>
          <w:bCs/>
        </w:rPr>
        <w:t>7</w:t>
      </w:r>
      <w:r>
        <w:rPr>
          <w:rFonts w:hint="eastAsia"/>
          <w:bCs/>
        </w:rPr>
        <w:t>室，邮政编码：</w:t>
      </w:r>
      <w:r>
        <w:rPr>
          <w:bCs/>
        </w:rPr>
        <w:t>315020</w:t>
      </w:r>
      <w:r>
        <w:rPr>
          <w:rFonts w:hint="eastAsia"/>
          <w:bCs/>
        </w:rPr>
        <w:t>，联系人：石律师，联系电话：</w:t>
      </w:r>
      <w:r>
        <w:rPr>
          <w:bCs/>
        </w:rPr>
        <w:t>0574-87520647</w:t>
      </w:r>
      <w:r w:rsidR="00E34E8F">
        <w:rPr>
          <w:rFonts w:hint="eastAsia"/>
          <w:bCs/>
        </w:rPr>
        <w:t>、</w:t>
      </w:r>
      <w:r w:rsidR="00E34E8F" w:rsidRPr="00691DD3">
        <w:rPr>
          <w:rFonts w:ascii="仿宋" w:eastAsia="仿宋" w:hAnsi="仿宋" w:cs="Calibri"/>
        </w:rPr>
        <w:t>19906746480</w:t>
      </w:r>
      <w:r>
        <w:rPr>
          <w:rFonts w:hint="eastAsia"/>
          <w:bCs/>
        </w:rPr>
        <w:t>。</w:t>
      </w:r>
    </w:p>
    <w:p w14:paraId="1F91D438" w14:textId="77777777" w:rsidR="00BE0A1E" w:rsidRDefault="00BE0A1E" w:rsidP="00900CA3">
      <w:pPr>
        <w:adjustRightInd w:val="0"/>
        <w:snapToGrid w:val="0"/>
        <w:spacing w:line="360" w:lineRule="auto"/>
        <w:ind w:rightChars="12" w:right="29" w:firstLine="200"/>
        <w:rPr>
          <w:b/>
        </w:rPr>
      </w:pPr>
    </w:p>
    <w:p w14:paraId="5D24D85C" w14:textId="23055B71" w:rsidR="00900CA3" w:rsidRDefault="00900CA3" w:rsidP="00900CA3">
      <w:pPr>
        <w:adjustRightInd w:val="0"/>
        <w:snapToGrid w:val="0"/>
        <w:spacing w:line="360" w:lineRule="auto"/>
        <w:ind w:rightChars="12" w:right="29" w:firstLine="200"/>
        <w:rPr>
          <w:b/>
        </w:rPr>
      </w:pPr>
      <w:r>
        <w:rPr>
          <w:rFonts w:cs="Tahoma" w:hint="eastAsia"/>
          <w:b/>
        </w:rPr>
        <w:t>特别提示：</w:t>
      </w:r>
    </w:p>
    <w:p w14:paraId="698D168A" w14:textId="77777777" w:rsidR="00900CA3" w:rsidRDefault="00900CA3" w:rsidP="00900CA3">
      <w:pPr>
        <w:spacing w:line="360" w:lineRule="auto"/>
        <w:ind w:firstLineChars="200" w:firstLine="482"/>
        <w:rPr>
          <w:b/>
          <w:bCs/>
        </w:rPr>
      </w:pPr>
      <w:r>
        <w:rPr>
          <w:rFonts w:hint="eastAsia"/>
          <w:b/>
          <w:bCs/>
        </w:rPr>
        <w:t>（1）根据</w:t>
      </w:r>
      <w:r>
        <w:rPr>
          <w:b/>
          <w:bCs/>
        </w:rPr>
        <w:t>《最高人民法院</w:t>
      </w:r>
      <w:r>
        <w:rPr>
          <w:rFonts w:hint="eastAsia"/>
          <w:b/>
          <w:bCs/>
        </w:rPr>
        <w:t xml:space="preserve"> 最高人民检察院关于办理虚假诉讼刑事案件适用法律若干问题的解释</w:t>
      </w:r>
      <w:r>
        <w:rPr>
          <w:b/>
          <w:bCs/>
        </w:rPr>
        <w:t>》（法释〔2018〕17号）第一条第五款</w:t>
      </w:r>
      <w:r>
        <w:rPr>
          <w:rFonts w:hint="eastAsia"/>
          <w:b/>
          <w:bCs/>
        </w:rPr>
        <w:t>之</w:t>
      </w:r>
      <w:r>
        <w:rPr>
          <w:b/>
          <w:bCs/>
        </w:rPr>
        <w:t>规定：在破产案件审理过程中申报捏造的债权的，应当认定为刑法第三百零七条之一第一款规定的“以捏造的事实提起民事诉讼”</w:t>
      </w:r>
      <w:r>
        <w:rPr>
          <w:rFonts w:hint="eastAsia"/>
          <w:b/>
          <w:bCs/>
        </w:rPr>
        <w:t>。</w:t>
      </w:r>
      <w:r>
        <w:rPr>
          <w:rFonts w:hint="eastAsia"/>
          <w:b/>
          <w:bCs/>
          <w:u w:val="single"/>
        </w:rPr>
        <w:t>债权人虚假申报债权或提供虚假申报材料，损害其他债权人利益的，管理人将依法移送公安机关或人民法院追究其法律责任。</w:t>
      </w:r>
    </w:p>
    <w:sectPr w:rsidR="00900CA3" w:rsidSect="00C630A5">
      <w:pgSz w:w="11906" w:h="16838"/>
      <w:pgMar w:top="1398" w:right="1459" w:bottom="1199"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6BFC3" w14:textId="77777777" w:rsidR="001A4FA2" w:rsidRDefault="001A4FA2" w:rsidP="00AC67F0">
      <w:r>
        <w:separator/>
      </w:r>
    </w:p>
  </w:endnote>
  <w:endnote w:type="continuationSeparator" w:id="0">
    <w:p w14:paraId="27EACD75" w14:textId="77777777" w:rsidR="001A4FA2" w:rsidRDefault="001A4FA2" w:rsidP="00AC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95074" w14:textId="77777777" w:rsidR="001A4FA2" w:rsidRDefault="001A4FA2" w:rsidP="00AC67F0">
      <w:r>
        <w:separator/>
      </w:r>
    </w:p>
  </w:footnote>
  <w:footnote w:type="continuationSeparator" w:id="0">
    <w:p w14:paraId="34E8E08D" w14:textId="77777777" w:rsidR="001A4FA2" w:rsidRDefault="001A4FA2" w:rsidP="00AC67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A5B"/>
    <w:rsid w:val="0009060E"/>
    <w:rsid w:val="000F5241"/>
    <w:rsid w:val="00130CED"/>
    <w:rsid w:val="001A4FA2"/>
    <w:rsid w:val="001C1356"/>
    <w:rsid w:val="00204DEA"/>
    <w:rsid w:val="00211A04"/>
    <w:rsid w:val="00266027"/>
    <w:rsid w:val="002C4A5B"/>
    <w:rsid w:val="00367004"/>
    <w:rsid w:val="003A404C"/>
    <w:rsid w:val="003F3A0C"/>
    <w:rsid w:val="0044349A"/>
    <w:rsid w:val="004A3509"/>
    <w:rsid w:val="004B3078"/>
    <w:rsid w:val="005E2D6A"/>
    <w:rsid w:val="00620387"/>
    <w:rsid w:val="00670937"/>
    <w:rsid w:val="00691DD3"/>
    <w:rsid w:val="006D01BE"/>
    <w:rsid w:val="007065FC"/>
    <w:rsid w:val="00790593"/>
    <w:rsid w:val="007A04F3"/>
    <w:rsid w:val="007F17C2"/>
    <w:rsid w:val="0082142A"/>
    <w:rsid w:val="00826E17"/>
    <w:rsid w:val="00853E49"/>
    <w:rsid w:val="008B3DAF"/>
    <w:rsid w:val="008B4538"/>
    <w:rsid w:val="008E089A"/>
    <w:rsid w:val="00900CA3"/>
    <w:rsid w:val="00903F47"/>
    <w:rsid w:val="009129F5"/>
    <w:rsid w:val="00A91FD1"/>
    <w:rsid w:val="00AB4291"/>
    <w:rsid w:val="00AC67F0"/>
    <w:rsid w:val="00AF3BA1"/>
    <w:rsid w:val="00B0669E"/>
    <w:rsid w:val="00BE0A1E"/>
    <w:rsid w:val="00C30F50"/>
    <w:rsid w:val="00C630A5"/>
    <w:rsid w:val="00C64D68"/>
    <w:rsid w:val="00CB2F45"/>
    <w:rsid w:val="00D7118E"/>
    <w:rsid w:val="00E34E8F"/>
    <w:rsid w:val="00F435AB"/>
    <w:rsid w:val="00F91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01AD2"/>
  <w15:chartTrackingRefBased/>
  <w15:docId w15:val="{E8621E15-5B74-4789-A06F-87A9834EF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5FC"/>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67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C67F0"/>
    <w:rPr>
      <w:sz w:val="18"/>
      <w:szCs w:val="18"/>
    </w:rPr>
  </w:style>
  <w:style w:type="paragraph" w:styleId="a5">
    <w:name w:val="footer"/>
    <w:basedOn w:val="a"/>
    <w:link w:val="a6"/>
    <w:uiPriority w:val="99"/>
    <w:unhideWhenUsed/>
    <w:rsid w:val="00AC67F0"/>
    <w:pPr>
      <w:tabs>
        <w:tab w:val="center" w:pos="4153"/>
        <w:tab w:val="right" w:pos="8306"/>
      </w:tabs>
      <w:snapToGrid w:val="0"/>
    </w:pPr>
    <w:rPr>
      <w:rFonts w:asciiTheme="minorHAnsi" w:eastAsiaTheme="minorEastAsia" w:hAnsiTheme="minorHAnsi" w:cstheme="minorBidi"/>
      <w:sz w:val="18"/>
      <w:szCs w:val="18"/>
    </w:rPr>
  </w:style>
  <w:style w:type="character" w:customStyle="1" w:styleId="a6">
    <w:name w:val="页脚 字符"/>
    <w:basedOn w:val="a0"/>
    <w:link w:val="a5"/>
    <w:uiPriority w:val="99"/>
    <w:rsid w:val="00AC67F0"/>
    <w:rPr>
      <w:sz w:val="18"/>
      <w:szCs w:val="18"/>
    </w:rPr>
  </w:style>
  <w:style w:type="character" w:styleId="a7">
    <w:name w:val="Hyperlink"/>
    <w:basedOn w:val="a0"/>
    <w:uiPriority w:val="99"/>
    <w:unhideWhenUsed/>
    <w:rsid w:val="008B4538"/>
    <w:rPr>
      <w:color w:val="0563C1" w:themeColor="hyperlink"/>
      <w:u w:val="single"/>
    </w:rPr>
  </w:style>
  <w:style w:type="character" w:styleId="a8">
    <w:name w:val="Unresolved Mention"/>
    <w:basedOn w:val="a0"/>
    <w:uiPriority w:val="99"/>
    <w:semiHidden/>
    <w:unhideWhenUsed/>
    <w:rsid w:val="00620387"/>
    <w:rPr>
      <w:color w:val="605E5C"/>
      <w:shd w:val="clear" w:color="auto" w:fill="E1DFDD"/>
    </w:rPr>
  </w:style>
  <w:style w:type="character" w:styleId="a9">
    <w:name w:val="FollowedHyperlink"/>
    <w:basedOn w:val="a0"/>
    <w:uiPriority w:val="99"/>
    <w:semiHidden/>
    <w:unhideWhenUsed/>
    <w:rsid w:val="00620387"/>
    <w:rPr>
      <w:color w:val="954F72" w:themeColor="followedHyperlink"/>
      <w:u w:val="single"/>
    </w:rPr>
  </w:style>
  <w:style w:type="paragraph" w:customStyle="1" w:styleId="-11">
    <w:name w:val="彩色列表 - 着色 11"/>
    <w:basedOn w:val="a"/>
    <w:uiPriority w:val="99"/>
    <w:qFormat/>
    <w:rsid w:val="00900CA3"/>
    <w:pPr>
      <w:widowControl w:val="0"/>
      <w:ind w:firstLineChars="200" w:firstLine="420"/>
      <w:jc w:val="both"/>
    </w:pPr>
    <w:rPr>
      <w:rFonts w:ascii="Times New Roman"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266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563</Characters>
  <Application>Microsoft Office Word</Application>
  <DocSecurity>0</DocSecurity>
  <Lines>4</Lines>
  <Paragraphs>1</Paragraphs>
  <ScaleCrop>false</ScaleCrop>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 炜</dc:creator>
  <cp:keywords/>
  <dc:description/>
  <cp:lastModifiedBy>unknow</cp:lastModifiedBy>
  <cp:revision>3</cp:revision>
  <cp:lastPrinted>2022-11-23T12:11:00Z</cp:lastPrinted>
  <dcterms:created xsi:type="dcterms:W3CDTF">2022-12-05T08:37:00Z</dcterms:created>
  <dcterms:modified xsi:type="dcterms:W3CDTF">2022-12-05T08:38:00Z</dcterms:modified>
</cp:coreProperties>
</file>